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517E7" w14:textId="77777777" w:rsidR="00893FC9" w:rsidRPr="00B16ABC" w:rsidRDefault="00B16ABC">
      <w:pPr>
        <w:pStyle w:val="Title"/>
        <w:rPr>
          <w:sz w:val="36"/>
        </w:rPr>
      </w:pPr>
      <w:bookmarkStart w:id="0" w:name="_GoBack"/>
      <w:bookmarkEnd w:id="0"/>
      <w:r w:rsidRPr="00B16ABC">
        <w:rPr>
          <w:sz w:val="36"/>
        </w:rPr>
        <w:t>Testing and Disability Offices: Partners in Access and Success</w:t>
      </w:r>
    </w:p>
    <w:p w14:paraId="5062C7E4" w14:textId="77777777" w:rsidR="00893FC9" w:rsidRPr="00B16ABC" w:rsidRDefault="00B16ABC">
      <w:pPr>
        <w:pStyle w:val="Heading1"/>
        <w:rPr>
          <w:sz w:val="32"/>
        </w:rPr>
      </w:pPr>
      <w:r w:rsidRPr="00B16ABC">
        <w:rPr>
          <w:sz w:val="32"/>
        </w:rPr>
        <w:t>Panel</w:t>
      </w:r>
    </w:p>
    <w:p w14:paraId="789B60E6" w14:textId="77777777" w:rsidR="00B16ABC" w:rsidRDefault="00B16ABC" w:rsidP="00B16ABC">
      <w:pPr>
        <w:tabs>
          <w:tab w:val="num" w:pos="720"/>
        </w:tabs>
        <w:spacing w:after="0"/>
      </w:pPr>
      <w:r>
        <w:t>Jennifer Radt</w:t>
      </w:r>
    </w:p>
    <w:p w14:paraId="7BE1470B" w14:textId="77777777" w:rsidR="00F77794" w:rsidRPr="00B16ABC" w:rsidRDefault="00B16ABC" w:rsidP="00B16ABC">
      <w:pPr>
        <w:tabs>
          <w:tab w:val="num" w:pos="720"/>
        </w:tabs>
        <w:spacing w:after="0"/>
      </w:pPr>
      <w:r w:rsidRPr="00B16ABC">
        <w:t>Sara Rieder Bennett, Ph.D.</w:t>
      </w:r>
    </w:p>
    <w:p w14:paraId="0C6F7BFE" w14:textId="77777777" w:rsidR="00F77794" w:rsidRPr="00B16ABC" w:rsidRDefault="00B16ABC" w:rsidP="00B16ABC">
      <w:pPr>
        <w:numPr>
          <w:ilvl w:val="0"/>
          <w:numId w:val="13"/>
        </w:numPr>
        <w:spacing w:after="0"/>
      </w:pPr>
      <w:r w:rsidRPr="00B16ABC">
        <w:t>Assistant Director of Testing and Licensed Psychologist, Counseling &amp; Testing Center, The University of Akron</w:t>
      </w:r>
    </w:p>
    <w:p w14:paraId="2BF470A7" w14:textId="77777777" w:rsidR="00F77794" w:rsidRPr="00B16ABC" w:rsidRDefault="00B16ABC" w:rsidP="00B16ABC">
      <w:pPr>
        <w:numPr>
          <w:ilvl w:val="0"/>
          <w:numId w:val="13"/>
        </w:numPr>
        <w:spacing w:after="0"/>
      </w:pPr>
      <w:r w:rsidRPr="00B16ABC">
        <w:t>President, Ohio College Testing Association</w:t>
      </w:r>
    </w:p>
    <w:p w14:paraId="5B92850B" w14:textId="77777777" w:rsidR="00F77794" w:rsidRPr="00B16ABC" w:rsidRDefault="00B16ABC" w:rsidP="00B16ABC">
      <w:pPr>
        <w:spacing w:after="0"/>
      </w:pPr>
      <w:r>
        <w:t xml:space="preserve">Kelly </w:t>
      </w:r>
      <w:r w:rsidRPr="00B16ABC">
        <w:t>Kulick, M.Ed., CRC</w:t>
      </w:r>
    </w:p>
    <w:p w14:paraId="1F06D0B0" w14:textId="77777777" w:rsidR="00F77794" w:rsidRPr="00B16ABC" w:rsidRDefault="00B16ABC" w:rsidP="00B16ABC">
      <w:pPr>
        <w:spacing w:after="0"/>
        <w:ind w:firstLine="708"/>
      </w:pPr>
      <w:r w:rsidRPr="00B16ABC">
        <w:t>Director of the Office of Accessibility, The University of Akron</w:t>
      </w:r>
    </w:p>
    <w:p w14:paraId="6380B3AC" w14:textId="77777777" w:rsidR="00F77794" w:rsidRPr="00B16ABC" w:rsidRDefault="00B16ABC" w:rsidP="00B16ABC">
      <w:pPr>
        <w:spacing w:after="0"/>
      </w:pPr>
      <w:r w:rsidRPr="00B16ABC">
        <w:t>Jessica DeFago, M.A.</w:t>
      </w:r>
    </w:p>
    <w:p w14:paraId="5B79AF1D" w14:textId="77777777" w:rsidR="00F77794" w:rsidRPr="00B16ABC" w:rsidRDefault="00B16ABC" w:rsidP="00B16ABC">
      <w:pPr>
        <w:spacing w:after="0"/>
        <w:ind w:firstLine="708"/>
      </w:pPr>
      <w:r w:rsidRPr="00B16ABC">
        <w:t>Associate Director of the Office of Accessibility, The University of Akron</w:t>
      </w:r>
    </w:p>
    <w:p w14:paraId="663FDF5F" w14:textId="77777777" w:rsidR="00F77794" w:rsidRPr="00B16ABC" w:rsidRDefault="00B16ABC" w:rsidP="00B16ABC">
      <w:pPr>
        <w:spacing w:after="0"/>
      </w:pPr>
      <w:r w:rsidRPr="00B16ABC">
        <w:t>Heather Vennekotter, LLPC, MRC</w:t>
      </w:r>
    </w:p>
    <w:p w14:paraId="3B6938AC" w14:textId="77777777" w:rsidR="00F77794" w:rsidRPr="00B16ABC" w:rsidRDefault="00B16ABC" w:rsidP="00B16ABC">
      <w:pPr>
        <w:spacing w:after="0"/>
        <w:ind w:firstLine="708"/>
      </w:pPr>
      <w:r w:rsidRPr="00B16ABC">
        <w:t xml:space="preserve">Testing Center and Accommodative Services Coordinator, Rhodes State University </w:t>
      </w:r>
    </w:p>
    <w:p w14:paraId="4EAFED4F" w14:textId="77777777" w:rsidR="00B16ABC" w:rsidRPr="00B16ABC" w:rsidRDefault="00B16ABC" w:rsidP="00B16ABC">
      <w:pPr>
        <w:pStyle w:val="Heading1"/>
        <w:rPr>
          <w:sz w:val="32"/>
        </w:rPr>
      </w:pPr>
      <w:r w:rsidRPr="00B16ABC">
        <w:rPr>
          <w:sz w:val="32"/>
        </w:rPr>
        <w:t xml:space="preserve">Goals for Panel </w:t>
      </w:r>
    </w:p>
    <w:p w14:paraId="4E2FCCD6" w14:textId="77777777" w:rsidR="00F77794" w:rsidRPr="00B16ABC" w:rsidRDefault="00B16ABC" w:rsidP="00B16ABC">
      <w:pPr>
        <w:numPr>
          <w:ilvl w:val="0"/>
          <w:numId w:val="14"/>
        </w:numPr>
        <w:spacing w:after="0"/>
      </w:pPr>
      <w:r w:rsidRPr="00B16ABC">
        <w:t>Provide overview of three campuses’ approaches to accommodative testing</w:t>
      </w:r>
    </w:p>
    <w:p w14:paraId="1AD1FF1E" w14:textId="77777777" w:rsidR="00F77794" w:rsidRPr="00B16ABC" w:rsidRDefault="00B16ABC" w:rsidP="00B16ABC">
      <w:pPr>
        <w:numPr>
          <w:ilvl w:val="0"/>
          <w:numId w:val="14"/>
        </w:numPr>
        <w:spacing w:after="0"/>
      </w:pPr>
      <w:r w:rsidRPr="00B16ABC">
        <w:t>Define collaboration and identify barriers and supports to effective collaboration</w:t>
      </w:r>
    </w:p>
    <w:p w14:paraId="0534DF6B" w14:textId="77777777" w:rsidR="00F77794" w:rsidRPr="00B16ABC" w:rsidRDefault="00B16ABC" w:rsidP="00B16ABC">
      <w:pPr>
        <w:numPr>
          <w:ilvl w:val="0"/>
          <w:numId w:val="14"/>
        </w:numPr>
        <w:spacing w:after="0"/>
      </w:pPr>
      <w:r w:rsidRPr="00B16ABC">
        <w:t>Present lessons learned for successful collaboration between our offices</w:t>
      </w:r>
    </w:p>
    <w:p w14:paraId="586BC437" w14:textId="77777777" w:rsidR="00F77794" w:rsidRPr="00B16ABC" w:rsidRDefault="00B16ABC" w:rsidP="00B16ABC">
      <w:pPr>
        <w:numPr>
          <w:ilvl w:val="0"/>
          <w:numId w:val="14"/>
        </w:numPr>
        <w:spacing w:after="0"/>
      </w:pPr>
      <w:r w:rsidRPr="00B16ABC">
        <w:t>Panel question and answer, and group discussion</w:t>
      </w:r>
    </w:p>
    <w:p w14:paraId="39536299" w14:textId="77777777" w:rsidR="00B16ABC" w:rsidRPr="00B16ABC" w:rsidRDefault="00B16ABC" w:rsidP="00B16ABC">
      <w:pPr>
        <w:pStyle w:val="Heading1"/>
        <w:rPr>
          <w:sz w:val="32"/>
        </w:rPr>
      </w:pPr>
      <w:r w:rsidRPr="00B16ABC">
        <w:rPr>
          <w:sz w:val="32"/>
        </w:rPr>
        <w:t>Background on Accommodated Testing</w:t>
      </w:r>
    </w:p>
    <w:p w14:paraId="4EFA61A5" w14:textId="77777777" w:rsidR="00F77794" w:rsidRPr="00B16ABC" w:rsidRDefault="00B16ABC" w:rsidP="00B16ABC">
      <w:pPr>
        <w:numPr>
          <w:ilvl w:val="0"/>
          <w:numId w:val="15"/>
        </w:numPr>
        <w:spacing w:after="0"/>
      </w:pPr>
      <w:r w:rsidRPr="00B16ABC">
        <w:t>Increasing prevalence, diversity, and needs of students with disabilities nationwide</w:t>
      </w:r>
    </w:p>
    <w:p w14:paraId="7680DD84" w14:textId="77777777" w:rsidR="00F77794" w:rsidRPr="00B16ABC" w:rsidRDefault="00B16ABC" w:rsidP="00B16ABC">
      <w:pPr>
        <w:numPr>
          <w:ilvl w:val="1"/>
          <w:numId w:val="15"/>
        </w:numPr>
        <w:spacing w:after="0"/>
      </w:pPr>
      <w:r w:rsidRPr="00B16ABC">
        <w:t>ADA Amendments Act</w:t>
      </w:r>
    </w:p>
    <w:p w14:paraId="48BF0458" w14:textId="77777777" w:rsidR="00F77794" w:rsidRPr="00B16ABC" w:rsidRDefault="00B16ABC" w:rsidP="00B16ABC">
      <w:pPr>
        <w:numPr>
          <w:ilvl w:val="1"/>
          <w:numId w:val="15"/>
        </w:numPr>
        <w:spacing w:after="0"/>
      </w:pPr>
      <w:r w:rsidRPr="00B16ABC">
        <w:t xml:space="preserve">Decreased or stagnant institutional resources </w:t>
      </w:r>
    </w:p>
    <w:p w14:paraId="63167351" w14:textId="77777777" w:rsidR="00F77794" w:rsidRDefault="00B16ABC" w:rsidP="00B16ABC">
      <w:pPr>
        <w:numPr>
          <w:ilvl w:val="1"/>
          <w:numId w:val="15"/>
        </w:numPr>
        <w:spacing w:after="0"/>
      </w:pPr>
      <w:r w:rsidRPr="00B16ABC">
        <w:t>Need for collaboration between service-provision offices</w:t>
      </w:r>
    </w:p>
    <w:p w14:paraId="6F52D1F9" w14:textId="77777777" w:rsidR="00B16ABC" w:rsidRDefault="00B16ABC" w:rsidP="00B16ABC">
      <w:pPr>
        <w:numPr>
          <w:ilvl w:val="0"/>
          <w:numId w:val="15"/>
        </w:numPr>
        <w:spacing w:after="0"/>
      </w:pPr>
      <w:r>
        <w:t xml:space="preserve">Data from The University of Akron: </w:t>
      </w:r>
      <w:r>
        <w:rPr>
          <w:noProof/>
          <w:lang w:eastAsia="en-US"/>
        </w:rPr>
        <w:drawing>
          <wp:inline distT="0" distB="0" distL="0" distR="0" wp14:anchorId="2A25A939" wp14:editId="01D9A9C8">
            <wp:extent cx="3686175" cy="24053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36" cy="2412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E3EB5" w14:textId="77777777" w:rsidR="00B16ABC" w:rsidRDefault="00B16ABC" w:rsidP="00B16ABC">
      <w:pPr>
        <w:spacing w:line="240" w:lineRule="auto"/>
      </w:pPr>
    </w:p>
    <w:p w14:paraId="6FC88C54" w14:textId="77777777" w:rsidR="00B16ABC" w:rsidRPr="00B16ABC" w:rsidRDefault="00B16ABC" w:rsidP="00B16ABC">
      <w:pPr>
        <w:pStyle w:val="ListParagraph"/>
        <w:numPr>
          <w:ilvl w:val="0"/>
          <w:numId w:val="19"/>
        </w:numPr>
        <w:spacing w:line="240" w:lineRule="auto"/>
      </w:pPr>
      <w:r>
        <w:lastRenderedPageBreak/>
        <w:t>Accommodated Testing in UA’s Counseling &amp; Testing Center (Jan-June) shows 215% increase from 2011:</w:t>
      </w:r>
    </w:p>
    <w:p w14:paraId="7BBC65E7" w14:textId="77777777" w:rsidR="00B16ABC" w:rsidRDefault="00B16ABC" w:rsidP="00B16ABC">
      <w:pPr>
        <w:spacing w:after="80" w:line="240" w:lineRule="auto"/>
        <w:ind w:left="540"/>
      </w:pPr>
      <w:r>
        <w:rPr>
          <w:noProof/>
          <w:lang w:eastAsia="en-US"/>
        </w:rPr>
        <w:drawing>
          <wp:inline distT="0" distB="0" distL="0" distR="0" wp14:anchorId="1653085E" wp14:editId="0A74C629">
            <wp:extent cx="5315585" cy="23967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68" cy="2408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E44A2" w14:textId="77777777" w:rsidR="00B16ABC" w:rsidRDefault="00B16ABC" w:rsidP="00B16ABC">
      <w:pPr>
        <w:spacing w:after="80" w:line="240" w:lineRule="auto"/>
      </w:pPr>
    </w:p>
    <w:p w14:paraId="23BBBC1E" w14:textId="77777777" w:rsidR="00B16ABC" w:rsidRDefault="00B16ABC" w:rsidP="00B16ABC">
      <w:pPr>
        <w:numPr>
          <w:ilvl w:val="0"/>
          <w:numId w:val="15"/>
        </w:numPr>
        <w:spacing w:after="0" w:line="240" w:lineRule="auto"/>
      </w:pPr>
      <w:r>
        <w:t>Models for Accommodated Testing:</w:t>
      </w:r>
    </w:p>
    <w:p w14:paraId="742C8663" w14:textId="77777777" w:rsidR="00B16ABC" w:rsidRDefault="00B16ABC" w:rsidP="00B16ABC">
      <w:pPr>
        <w:numPr>
          <w:ilvl w:val="1"/>
          <w:numId w:val="15"/>
        </w:numPr>
        <w:spacing w:after="0" w:line="240" w:lineRule="auto"/>
      </w:pPr>
      <w:r>
        <w:t>Instructor Delivery</w:t>
      </w:r>
    </w:p>
    <w:p w14:paraId="6B2C8CB5" w14:textId="77777777" w:rsidR="00B16ABC" w:rsidRDefault="00B16ABC" w:rsidP="00B16ABC">
      <w:pPr>
        <w:numPr>
          <w:ilvl w:val="1"/>
          <w:numId w:val="15"/>
        </w:numPr>
        <w:spacing w:after="0" w:line="240" w:lineRule="auto"/>
      </w:pPr>
      <w:r>
        <w:t>Disability/Accessibility Office Delivery</w:t>
      </w:r>
    </w:p>
    <w:p w14:paraId="271EE8A0" w14:textId="77777777" w:rsidR="00B16ABC" w:rsidRDefault="00B16ABC" w:rsidP="00B16ABC">
      <w:pPr>
        <w:numPr>
          <w:ilvl w:val="1"/>
          <w:numId w:val="15"/>
        </w:numPr>
        <w:spacing w:after="0" w:line="240" w:lineRule="auto"/>
      </w:pPr>
      <w:r>
        <w:t>Test Center Delivery</w:t>
      </w:r>
    </w:p>
    <w:p w14:paraId="67CF191D" w14:textId="77777777" w:rsidR="00B16ABC" w:rsidRDefault="00B16ABC" w:rsidP="00B16ABC">
      <w:pPr>
        <w:numPr>
          <w:ilvl w:val="1"/>
          <w:numId w:val="15"/>
        </w:numPr>
        <w:spacing w:after="0" w:line="240" w:lineRule="auto"/>
      </w:pPr>
      <w:r>
        <w:t>Collaborative – maximizes benefits and reduces limitations of other models</w:t>
      </w:r>
    </w:p>
    <w:p w14:paraId="0F036952" w14:textId="77777777" w:rsidR="00B16ABC" w:rsidRDefault="00B16ABC" w:rsidP="00B16ABC">
      <w:pPr>
        <w:numPr>
          <w:ilvl w:val="0"/>
          <w:numId w:val="15"/>
        </w:numPr>
        <w:spacing w:after="0" w:line="240" w:lineRule="auto"/>
      </w:pPr>
      <w:r w:rsidRPr="00B16ABC">
        <w:t>The University of Akron model – six years of collaborative testing between OA and CTC</w:t>
      </w:r>
      <w:r>
        <w:t>:</w:t>
      </w:r>
    </w:p>
    <w:p w14:paraId="10EC24F7" w14:textId="77777777" w:rsidR="00F77794" w:rsidRPr="00B16ABC" w:rsidRDefault="00B16ABC" w:rsidP="00B16ABC">
      <w:pPr>
        <w:numPr>
          <w:ilvl w:val="1"/>
          <w:numId w:val="15"/>
        </w:numPr>
        <w:spacing w:after="0" w:line="240" w:lineRule="auto"/>
      </w:pPr>
      <w:r w:rsidRPr="00B16ABC">
        <w:t>Testing accommodations determined with documentation and intake at OA</w:t>
      </w:r>
    </w:p>
    <w:p w14:paraId="4E52D7B8" w14:textId="77777777" w:rsidR="00F77794" w:rsidRPr="00B16ABC" w:rsidRDefault="00B16ABC" w:rsidP="00B16ABC">
      <w:pPr>
        <w:numPr>
          <w:ilvl w:val="2"/>
          <w:numId w:val="15"/>
        </w:numPr>
        <w:spacing w:after="0" w:line="240" w:lineRule="auto"/>
      </w:pPr>
      <w:r w:rsidRPr="00B16ABC">
        <w:t>Extended time:  specific amount depends on impact of disability, determined by Disability Specialist</w:t>
      </w:r>
    </w:p>
    <w:p w14:paraId="5B2A8C54" w14:textId="77777777" w:rsidR="00F77794" w:rsidRPr="00B16ABC" w:rsidRDefault="00B16ABC" w:rsidP="00B16ABC">
      <w:pPr>
        <w:numPr>
          <w:ilvl w:val="2"/>
          <w:numId w:val="15"/>
        </w:numPr>
        <w:spacing w:after="0" w:line="240" w:lineRule="auto"/>
      </w:pPr>
      <w:r w:rsidRPr="00B16ABC">
        <w:t>Distraction reduced space – no guarantee of private/distraction free space</w:t>
      </w:r>
    </w:p>
    <w:p w14:paraId="0A564E3B" w14:textId="77777777" w:rsidR="00F77794" w:rsidRPr="00B16ABC" w:rsidRDefault="00B16ABC" w:rsidP="00B16ABC">
      <w:pPr>
        <w:numPr>
          <w:ilvl w:val="2"/>
          <w:numId w:val="15"/>
        </w:numPr>
        <w:spacing w:after="0" w:line="240" w:lineRule="auto"/>
      </w:pPr>
      <w:r w:rsidRPr="00B16ABC">
        <w:t>Test proctors for reading/scribing</w:t>
      </w:r>
    </w:p>
    <w:p w14:paraId="2C03ED80" w14:textId="77777777" w:rsidR="00F77794" w:rsidRPr="00B16ABC" w:rsidRDefault="00B16ABC" w:rsidP="00B16ABC">
      <w:pPr>
        <w:numPr>
          <w:ilvl w:val="2"/>
          <w:numId w:val="15"/>
        </w:numPr>
        <w:spacing w:after="0" w:line="240" w:lineRule="auto"/>
      </w:pPr>
      <w:r w:rsidRPr="00B16ABC">
        <w:t xml:space="preserve">Use of technology – computers, CCTV, adaptive software, etc. Students not to use personal devices for testing. </w:t>
      </w:r>
    </w:p>
    <w:p w14:paraId="2DBB0697" w14:textId="77777777" w:rsidR="00F77794" w:rsidRPr="00B16ABC" w:rsidRDefault="00B16ABC" w:rsidP="00B16ABC">
      <w:pPr>
        <w:numPr>
          <w:ilvl w:val="1"/>
          <w:numId w:val="15"/>
        </w:numPr>
        <w:spacing w:after="0" w:line="240" w:lineRule="auto"/>
      </w:pPr>
      <w:r w:rsidRPr="00B16ABC">
        <w:t>Cases assigned based on accommodation need and how proctors function in each setting:</w:t>
      </w:r>
    </w:p>
    <w:p w14:paraId="7AF8A672" w14:textId="77777777" w:rsidR="00F77794" w:rsidRPr="00B16ABC" w:rsidRDefault="00B16ABC" w:rsidP="00B16ABC">
      <w:pPr>
        <w:numPr>
          <w:ilvl w:val="2"/>
          <w:numId w:val="15"/>
        </w:numPr>
        <w:spacing w:after="0" w:line="240" w:lineRule="auto"/>
      </w:pPr>
      <w:r w:rsidRPr="00B16ABC">
        <w:t>OA – individualized accommodation based on need of student.</w:t>
      </w:r>
    </w:p>
    <w:p w14:paraId="30164A38" w14:textId="77777777" w:rsidR="00F77794" w:rsidRPr="00B16ABC" w:rsidRDefault="00B16ABC" w:rsidP="00B16ABC">
      <w:pPr>
        <w:numPr>
          <w:ilvl w:val="2"/>
          <w:numId w:val="15"/>
        </w:numPr>
        <w:spacing w:after="0" w:line="240" w:lineRule="auto"/>
      </w:pPr>
      <w:r w:rsidRPr="00B16ABC">
        <w:t>CTC – proctors monitor testing environment for students with disabilities, distraction reduced environment, extended time, access to materials such as computer/calculator</w:t>
      </w:r>
    </w:p>
    <w:p w14:paraId="622A01E9" w14:textId="77777777" w:rsidR="00F77794" w:rsidRPr="00B16ABC" w:rsidRDefault="00B16ABC" w:rsidP="00B16ABC">
      <w:pPr>
        <w:numPr>
          <w:ilvl w:val="2"/>
          <w:numId w:val="15"/>
        </w:numPr>
        <w:spacing w:after="0" w:line="240" w:lineRule="auto"/>
      </w:pPr>
      <w:r w:rsidRPr="00B16ABC">
        <w:t>Students maintain option to take tests with class without accommodations; with accommodations provided by instructor; at CTC or OA as assigned; or at Computer Based Assessment &amp; Evaluation if required of the course (i.e. Springboard exam).</w:t>
      </w:r>
    </w:p>
    <w:p w14:paraId="009830FF" w14:textId="77777777" w:rsidR="00B16ABC" w:rsidRPr="00B16ABC" w:rsidRDefault="00B16ABC" w:rsidP="00B16ABC">
      <w:pPr>
        <w:numPr>
          <w:ilvl w:val="0"/>
          <w:numId w:val="15"/>
        </w:numPr>
        <w:spacing w:after="0" w:line="240" w:lineRule="auto"/>
      </w:pPr>
      <w:r w:rsidRPr="00B16ABC">
        <w:t>Rhodes</w:t>
      </w:r>
    </w:p>
    <w:p w14:paraId="699C68F2" w14:textId="77777777" w:rsidR="00B16ABC" w:rsidRDefault="00B16ABC" w:rsidP="00B16ABC">
      <w:pPr>
        <w:numPr>
          <w:ilvl w:val="0"/>
          <w:numId w:val="15"/>
        </w:numPr>
        <w:spacing w:after="0" w:line="240" w:lineRule="auto"/>
      </w:pPr>
      <w:r w:rsidRPr="00B16ABC">
        <w:t>UC Clermont</w:t>
      </w:r>
    </w:p>
    <w:p w14:paraId="3073029A" w14:textId="77777777" w:rsidR="00B16ABC" w:rsidRDefault="00B16ABC" w:rsidP="00B16ABC">
      <w:pPr>
        <w:pStyle w:val="Heading1"/>
      </w:pPr>
      <w:r>
        <w:t xml:space="preserve">Necessary Conditions for Collaboration </w:t>
      </w:r>
    </w:p>
    <w:p w14:paraId="4737A875" w14:textId="77777777" w:rsidR="00B16ABC" w:rsidRPr="00B16ABC" w:rsidRDefault="00B16ABC" w:rsidP="00B16ABC">
      <w:pPr>
        <w:spacing w:after="0" w:line="240" w:lineRule="auto"/>
      </w:pPr>
      <w:r w:rsidRPr="00B16ABC">
        <w:t>“Relationships are the currency of partnerships” (Colucci et al., 2002, p., 218)</w:t>
      </w:r>
    </w:p>
    <w:p w14:paraId="3D467A87" w14:textId="77777777" w:rsidR="00B16ABC" w:rsidRDefault="00B16ABC" w:rsidP="00B16ABC">
      <w:pPr>
        <w:numPr>
          <w:ilvl w:val="0"/>
          <w:numId w:val="20"/>
        </w:numPr>
        <w:spacing w:after="0" w:line="240" w:lineRule="auto"/>
      </w:pPr>
      <w:r w:rsidRPr="00B16ABC">
        <w:t>AHEAD defines as:  “people with common concerns and needs put their heads together to arrive at a mutual solution”</w:t>
      </w:r>
    </w:p>
    <w:p w14:paraId="53D767B5" w14:textId="77777777" w:rsidR="00F77794" w:rsidRPr="00B16ABC" w:rsidRDefault="00B16ABC" w:rsidP="00B16ABC">
      <w:pPr>
        <w:numPr>
          <w:ilvl w:val="0"/>
          <w:numId w:val="20"/>
        </w:numPr>
        <w:spacing w:after="0" w:line="240" w:lineRule="auto"/>
      </w:pPr>
      <w:r w:rsidRPr="00B16ABC">
        <w:lastRenderedPageBreak/>
        <w:t xml:space="preserve">Collaborations often fail…why? </w:t>
      </w:r>
    </w:p>
    <w:p w14:paraId="09B25C5B" w14:textId="77777777" w:rsidR="00F77794" w:rsidRPr="00B16ABC" w:rsidRDefault="00B16ABC" w:rsidP="00B16ABC">
      <w:pPr>
        <w:numPr>
          <w:ilvl w:val="1"/>
          <w:numId w:val="20"/>
        </w:numPr>
        <w:spacing w:after="0" w:line="240" w:lineRule="auto"/>
      </w:pPr>
      <w:r w:rsidRPr="00B16ABC">
        <w:t>They require:  layers of administrative oversight;  creation of new policies;  commitment of resources/staff time; recognition that the partnership creates a win-win situation;  good past relationships, goals, and communication</w:t>
      </w:r>
    </w:p>
    <w:p w14:paraId="1A8DBB1E" w14:textId="77777777" w:rsidR="00F77794" w:rsidRPr="00B16ABC" w:rsidRDefault="00B16ABC" w:rsidP="00B16ABC">
      <w:pPr>
        <w:numPr>
          <w:ilvl w:val="1"/>
          <w:numId w:val="20"/>
        </w:numPr>
        <w:spacing w:after="0" w:line="240" w:lineRule="auto"/>
      </w:pPr>
      <w:r w:rsidRPr="00B16ABC">
        <w:t xml:space="preserve">Barriers are prevalent:  turfism;  lack of ownership by stakeholders;  lack of power in decision-making;  unfavorable attitudes about collaboration </w:t>
      </w:r>
    </w:p>
    <w:p w14:paraId="4A50403F" w14:textId="77777777" w:rsidR="00F77794" w:rsidRPr="00B16ABC" w:rsidRDefault="00B16ABC" w:rsidP="00B16ABC">
      <w:pPr>
        <w:numPr>
          <w:ilvl w:val="0"/>
          <w:numId w:val="20"/>
        </w:numPr>
        <w:spacing w:after="0" w:line="240" w:lineRule="auto"/>
      </w:pPr>
      <w:r w:rsidRPr="00B16ABC">
        <w:t xml:space="preserve">Melaville &amp; Blank (1991) Five Principles of Collaboration: </w:t>
      </w:r>
    </w:p>
    <w:p w14:paraId="03BD7C45" w14:textId="77777777" w:rsidR="00F77794" w:rsidRPr="00B16ABC" w:rsidRDefault="00B16ABC" w:rsidP="00B16ABC">
      <w:pPr>
        <w:numPr>
          <w:ilvl w:val="1"/>
          <w:numId w:val="20"/>
        </w:numPr>
        <w:spacing w:after="0" w:line="240" w:lineRule="auto"/>
      </w:pPr>
      <w:r w:rsidRPr="00B16ABC">
        <w:t>Partnership between diverse stakeholder leads to more comprehensive identification of issues and solutions</w:t>
      </w:r>
    </w:p>
    <w:p w14:paraId="17550C34" w14:textId="77777777" w:rsidR="00F77794" w:rsidRPr="00B16ABC" w:rsidRDefault="00B16ABC" w:rsidP="00B16ABC">
      <w:pPr>
        <w:numPr>
          <w:ilvl w:val="1"/>
          <w:numId w:val="20"/>
        </w:numPr>
        <w:spacing w:after="0" w:line="240" w:lineRule="auto"/>
      </w:pPr>
      <w:r w:rsidRPr="00B16ABC">
        <w:t>Establish common goals to guide activities</w:t>
      </w:r>
    </w:p>
    <w:p w14:paraId="34C1F604" w14:textId="77777777" w:rsidR="00F77794" w:rsidRPr="00B16ABC" w:rsidRDefault="00B16ABC" w:rsidP="00B16ABC">
      <w:pPr>
        <w:numPr>
          <w:ilvl w:val="1"/>
          <w:numId w:val="20"/>
        </w:numPr>
        <w:spacing w:after="0" w:line="240" w:lineRule="auto"/>
      </w:pPr>
      <w:r w:rsidRPr="00B16ABC">
        <w:t>Jointly plan, implement, and evaluate services by whole group</w:t>
      </w:r>
    </w:p>
    <w:p w14:paraId="1007CA1A" w14:textId="77777777" w:rsidR="00F77794" w:rsidRPr="00B16ABC" w:rsidRDefault="00B16ABC" w:rsidP="00B16ABC">
      <w:pPr>
        <w:numPr>
          <w:ilvl w:val="1"/>
          <w:numId w:val="20"/>
        </w:numPr>
        <w:spacing w:after="0" w:line="240" w:lineRule="auto"/>
      </w:pPr>
      <w:r w:rsidRPr="00B16ABC">
        <w:t>Commit resources to achieve mutually identified vision for services</w:t>
      </w:r>
    </w:p>
    <w:p w14:paraId="15E10856" w14:textId="77777777" w:rsidR="00F77794" w:rsidRDefault="00B16ABC" w:rsidP="00B16ABC">
      <w:pPr>
        <w:numPr>
          <w:ilvl w:val="1"/>
          <w:numId w:val="20"/>
        </w:numPr>
        <w:spacing w:after="0" w:line="240" w:lineRule="auto"/>
      </w:pPr>
      <w:r w:rsidRPr="00B16ABC">
        <w:t>Delegate individual responsibilities to group members to full goal of whole group</w:t>
      </w:r>
    </w:p>
    <w:p w14:paraId="75098A41" w14:textId="77777777" w:rsidR="00B16ABC" w:rsidRDefault="00B16ABC" w:rsidP="00B16ABC">
      <w:pPr>
        <w:pStyle w:val="ListParagraph"/>
        <w:numPr>
          <w:ilvl w:val="0"/>
          <w:numId w:val="20"/>
        </w:numPr>
        <w:spacing w:afterLines="80" w:after="192" w:line="240" w:lineRule="auto"/>
      </w:pPr>
      <w:r>
        <w:t>Necessary Conditions for Collaboration:</w:t>
      </w:r>
    </w:p>
    <w:p w14:paraId="0A09D69A" w14:textId="77777777" w:rsidR="00B16ABC" w:rsidRDefault="00B16ABC" w:rsidP="00B16ABC">
      <w:pPr>
        <w:pStyle w:val="ListParagraph"/>
        <w:numPr>
          <w:ilvl w:val="0"/>
          <w:numId w:val="25"/>
        </w:numPr>
        <w:spacing w:afterLines="80" w:after="192" w:line="240" w:lineRule="auto"/>
      </w:pPr>
      <w:r w:rsidRPr="00B16ABC">
        <w:t>Open and non-defensive communication and inclusion of stakeholders in iterative decision-making process</w:t>
      </w:r>
    </w:p>
    <w:p w14:paraId="367A9681" w14:textId="77777777" w:rsidR="00B16ABC" w:rsidRDefault="00B16ABC" w:rsidP="00B16ABC">
      <w:pPr>
        <w:pStyle w:val="ListParagraph"/>
        <w:numPr>
          <w:ilvl w:val="0"/>
          <w:numId w:val="25"/>
        </w:numPr>
        <w:spacing w:afterLines="80" w:after="192" w:line="240" w:lineRule="auto"/>
      </w:pPr>
      <w:r w:rsidRPr="00B16ABC">
        <w:t>Adopting same procedures and models</w:t>
      </w:r>
    </w:p>
    <w:p w14:paraId="17ECB46C" w14:textId="77777777" w:rsidR="00B16ABC" w:rsidRDefault="00B16ABC" w:rsidP="00B16ABC">
      <w:pPr>
        <w:pStyle w:val="ListParagraph"/>
        <w:numPr>
          <w:ilvl w:val="0"/>
          <w:numId w:val="25"/>
        </w:numPr>
        <w:spacing w:afterLines="80" w:after="192" w:line="240" w:lineRule="auto"/>
      </w:pPr>
      <w:r w:rsidRPr="00B16ABC">
        <w:t>Collaborating on outreach and education of campus</w:t>
      </w:r>
    </w:p>
    <w:p w14:paraId="6ED259BD" w14:textId="77777777" w:rsidR="00B16ABC" w:rsidRDefault="00B16ABC" w:rsidP="00B16ABC">
      <w:pPr>
        <w:pStyle w:val="ListParagraph"/>
        <w:numPr>
          <w:ilvl w:val="0"/>
          <w:numId w:val="25"/>
        </w:numPr>
        <w:spacing w:afterLines="80" w:after="192" w:line="240" w:lineRule="auto"/>
      </w:pPr>
      <w:r w:rsidRPr="00B16ABC">
        <w:t>Recognition and promotion of one another’s expertise</w:t>
      </w:r>
    </w:p>
    <w:p w14:paraId="16C9A4F1" w14:textId="77777777" w:rsidR="00B16ABC" w:rsidRDefault="00B16ABC" w:rsidP="00B16ABC">
      <w:pPr>
        <w:pStyle w:val="ListParagraph"/>
        <w:numPr>
          <w:ilvl w:val="0"/>
          <w:numId w:val="25"/>
        </w:numPr>
        <w:spacing w:afterLines="80" w:after="192" w:line="240" w:lineRule="auto"/>
      </w:pPr>
      <w:r w:rsidRPr="00B16ABC">
        <w:t>Collective philosophy and mission</w:t>
      </w:r>
    </w:p>
    <w:p w14:paraId="50C98000" w14:textId="77777777" w:rsidR="00B16ABC" w:rsidRDefault="00B16ABC" w:rsidP="00B16ABC">
      <w:pPr>
        <w:pStyle w:val="ListParagraph"/>
        <w:numPr>
          <w:ilvl w:val="0"/>
          <w:numId w:val="25"/>
        </w:numPr>
        <w:spacing w:afterLines="80" w:after="192" w:line="240" w:lineRule="auto"/>
      </w:pPr>
      <w:r w:rsidRPr="00B16ABC">
        <w:t>Maintaining a flexible learning orientation</w:t>
      </w:r>
    </w:p>
    <w:p w14:paraId="5D4060A8" w14:textId="77777777" w:rsidR="00B16ABC" w:rsidRDefault="00B16ABC" w:rsidP="00B16ABC">
      <w:pPr>
        <w:pStyle w:val="ListParagraph"/>
        <w:numPr>
          <w:ilvl w:val="0"/>
          <w:numId w:val="25"/>
        </w:numPr>
        <w:spacing w:afterLines="80" w:after="192" w:line="240" w:lineRule="auto"/>
      </w:pPr>
      <w:r w:rsidRPr="00B16ABC">
        <w:t>Restructuring to allow shared leadership and resources</w:t>
      </w:r>
    </w:p>
    <w:p w14:paraId="09C8F303" w14:textId="77777777" w:rsidR="00F77794" w:rsidRPr="00B16ABC" w:rsidRDefault="00B16ABC" w:rsidP="00B16ABC">
      <w:pPr>
        <w:pStyle w:val="ListParagraph"/>
        <w:numPr>
          <w:ilvl w:val="0"/>
          <w:numId w:val="25"/>
        </w:numPr>
        <w:spacing w:afterLines="80" w:after="192" w:line="240" w:lineRule="auto"/>
      </w:pPr>
      <w:r w:rsidRPr="00B16ABC">
        <w:t>Building one another as team</w:t>
      </w:r>
    </w:p>
    <w:p w14:paraId="7D1F75BB" w14:textId="77777777" w:rsidR="00B16ABC" w:rsidRDefault="00B16ABC" w:rsidP="00B16ABC">
      <w:pPr>
        <w:spacing w:afterLines="80" w:after="192" w:line="240" w:lineRule="auto"/>
      </w:pPr>
    </w:p>
    <w:p w14:paraId="3AF47740" w14:textId="77777777" w:rsidR="00B16ABC" w:rsidRPr="00B16ABC" w:rsidRDefault="00B16ABC" w:rsidP="00B16ABC">
      <w:pPr>
        <w:pStyle w:val="Heading1"/>
        <w:pBdr>
          <w:bottom w:val="single" w:sz="4" w:space="0" w:color="595959" w:themeColor="text1" w:themeTint="A6"/>
        </w:pBdr>
        <w:rPr>
          <w:sz w:val="32"/>
        </w:rPr>
      </w:pPr>
      <w:r w:rsidRPr="00B16ABC">
        <w:rPr>
          <w:sz w:val="32"/>
        </w:rPr>
        <w:tab/>
        <w:t>References</w:t>
      </w:r>
    </w:p>
    <w:p w14:paraId="4F8FB6E1" w14:textId="77777777" w:rsidR="00B16ABC" w:rsidRPr="00B16ABC" w:rsidRDefault="00B16ABC" w:rsidP="00B16ABC">
      <w:pPr>
        <w:spacing w:afterLines="80" w:after="192" w:line="240" w:lineRule="auto"/>
      </w:pPr>
      <w:r w:rsidRPr="00B16ABC">
        <w:t xml:space="preserve">ASHE. (2010), Partnerships and Collaborations. In ASHE Higher Education Report, </w:t>
      </w:r>
      <w:r w:rsidRPr="00B16ABC">
        <w:rPr>
          <w:i/>
          <w:iCs/>
        </w:rPr>
        <w:t xml:space="preserve">36, </w:t>
      </w:r>
      <w:r w:rsidRPr="00B16ABC">
        <w:t xml:space="preserve">1–15. doi: 10.1002/aehe.3602. </w:t>
      </w:r>
    </w:p>
    <w:p w14:paraId="5767AD67" w14:textId="77777777" w:rsidR="00B16ABC" w:rsidRPr="00B16ABC" w:rsidRDefault="00B16ABC" w:rsidP="00B16ABC">
      <w:pPr>
        <w:spacing w:afterLines="80" w:after="192" w:line="240" w:lineRule="auto"/>
      </w:pPr>
      <w:r w:rsidRPr="00B16ABC">
        <w:t xml:space="preserve">Association on Higher Education and Disability. (1996). Using collaboration to enhance service for college students with learning disabilities. </w:t>
      </w:r>
      <w:r w:rsidRPr="00B16ABC">
        <w:rPr>
          <w:i/>
          <w:iCs/>
        </w:rPr>
        <w:t>Journal on Postsecondary Education and Disability, 12</w:t>
      </w:r>
      <w:r w:rsidRPr="00B16ABC">
        <w:t xml:space="preserve">. </w:t>
      </w:r>
      <w:hyperlink r:id="rId10" w:history="1">
        <w:r w:rsidRPr="00B16ABC">
          <w:rPr>
            <w:rStyle w:val="Hyperlink"/>
          </w:rPr>
          <w:t>http://www.ahead.org/publications/jped/vol_12</w:t>
        </w:r>
      </w:hyperlink>
      <w:r w:rsidRPr="00B16ABC">
        <w:t xml:space="preserve"> </w:t>
      </w:r>
    </w:p>
    <w:p w14:paraId="3F743630" w14:textId="77777777" w:rsidR="00B16ABC" w:rsidRPr="00B16ABC" w:rsidRDefault="00B16ABC" w:rsidP="00B16ABC">
      <w:pPr>
        <w:spacing w:afterLines="80" w:after="192" w:line="240" w:lineRule="auto"/>
      </w:pPr>
      <w:r w:rsidRPr="00B16ABC">
        <w:t xml:space="preserve">Colucci, K.L., Epanchin, B.C., &amp; Laframboise, K.L. (2002). Collaborative professional development partnerships. In J.L. Paul, C.D. Lavely, A. Cranston-Gingras, and E.L. Taylor (Eds.) </w:t>
      </w:r>
      <w:r w:rsidRPr="00B16ABC">
        <w:rPr>
          <w:i/>
          <w:iCs/>
        </w:rPr>
        <w:t xml:space="preserve">Rethinking Professional Issues in Special Education. </w:t>
      </w:r>
      <w:r w:rsidRPr="00B16ABC">
        <w:t>P 209-229. Ablex Publishing: Westport, CT. 1-56750-626-7 ISBN.</w:t>
      </w:r>
    </w:p>
    <w:p w14:paraId="684FAD3F" w14:textId="77777777" w:rsidR="00B16ABC" w:rsidRPr="00B16ABC" w:rsidRDefault="00B16ABC" w:rsidP="00B16ABC">
      <w:pPr>
        <w:spacing w:afterLines="80" w:after="192" w:line="240" w:lineRule="auto"/>
      </w:pPr>
      <w:r w:rsidRPr="00B16ABC">
        <w:t xml:space="preserve">Harbour, W.S. (2009). The relationship between institutional unit and administrative features of disability services offices in higher education. </w:t>
      </w:r>
      <w:r w:rsidRPr="00B16ABC">
        <w:rPr>
          <w:i/>
          <w:iCs/>
        </w:rPr>
        <w:t>Journal of Postsecondary Education and Disability, 21</w:t>
      </w:r>
      <w:r w:rsidRPr="00B16ABC">
        <w:t>, 138-154.</w:t>
      </w:r>
    </w:p>
    <w:p w14:paraId="53B6339C" w14:textId="77777777" w:rsidR="00B16ABC" w:rsidRPr="00B16ABC" w:rsidRDefault="00B16ABC" w:rsidP="00B16ABC">
      <w:pPr>
        <w:spacing w:afterLines="80" w:after="192" w:line="240" w:lineRule="auto"/>
      </w:pPr>
      <w:r w:rsidRPr="00B16ABC">
        <w:t xml:space="preserve">Horgan, T.R., &amp; Scire, D. (2007). Enhancing access and building a campus culture of civic engagement and service-learning: A dual consortia approach. </w:t>
      </w:r>
      <w:r w:rsidRPr="00B16ABC">
        <w:rPr>
          <w:i/>
          <w:iCs/>
        </w:rPr>
        <w:t>New Directions for Higher Education, 138</w:t>
      </w:r>
      <w:r w:rsidRPr="00B16ABC">
        <w:t>, 83-94.</w:t>
      </w:r>
    </w:p>
    <w:p w14:paraId="0FE6CCD4" w14:textId="77777777" w:rsidR="00B16ABC" w:rsidRPr="00B16ABC" w:rsidRDefault="00B16ABC" w:rsidP="00B16ABC">
      <w:pPr>
        <w:spacing w:afterLines="80" w:after="192" w:line="240" w:lineRule="auto"/>
      </w:pPr>
      <w:r w:rsidRPr="00B16ABC">
        <w:t xml:space="preserve">Melaville, A., &amp; Blank, M. (1991). </w:t>
      </w:r>
      <w:r w:rsidRPr="00B16ABC">
        <w:rPr>
          <w:i/>
          <w:iCs/>
        </w:rPr>
        <w:t xml:space="preserve">What it takes. structuring interagency partnerships to connect children and families with comprehensive services. </w:t>
      </w:r>
      <w:r w:rsidRPr="00B16ABC">
        <w:t>Washington, D.C.: Education and Human Services Consortium.</w:t>
      </w:r>
    </w:p>
    <w:p w14:paraId="244C9CBC" w14:textId="77777777" w:rsidR="00B16ABC" w:rsidRPr="00B16ABC" w:rsidRDefault="00B16ABC" w:rsidP="00B16ABC">
      <w:pPr>
        <w:spacing w:afterLines="80" w:after="192" w:line="240" w:lineRule="auto"/>
      </w:pPr>
      <w:r w:rsidRPr="00B16ABC">
        <w:t xml:space="preserve">O’Connor, T., Pettyjohn, H., &amp; Duffy, T. (August 2013) NCTA National Conference Presentation. Accommodated Testing: Furthering the Discussion. </w:t>
      </w:r>
    </w:p>
    <w:sectPr w:rsidR="00B16ABC" w:rsidRPr="00B16ABC" w:rsidSect="00B16ABC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52A5" w14:textId="77777777" w:rsidR="003D0EAC" w:rsidRDefault="003D0EAC" w:rsidP="00B16ABC">
      <w:pPr>
        <w:spacing w:after="0" w:line="240" w:lineRule="auto"/>
      </w:pPr>
      <w:r>
        <w:separator/>
      </w:r>
    </w:p>
  </w:endnote>
  <w:endnote w:type="continuationSeparator" w:id="0">
    <w:p w14:paraId="41CDCB4F" w14:textId="77777777" w:rsidR="003D0EAC" w:rsidRDefault="003D0EAC" w:rsidP="00B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D6CFE" w14:textId="77777777" w:rsidR="003D0EAC" w:rsidRDefault="003D0EAC" w:rsidP="00B16ABC">
      <w:pPr>
        <w:spacing w:after="0" w:line="240" w:lineRule="auto"/>
      </w:pPr>
      <w:r>
        <w:separator/>
      </w:r>
    </w:p>
  </w:footnote>
  <w:footnote w:type="continuationSeparator" w:id="0">
    <w:p w14:paraId="07B4FF57" w14:textId="77777777" w:rsidR="003D0EAC" w:rsidRDefault="003D0EAC" w:rsidP="00B1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6AC6"/>
    <w:multiLevelType w:val="hybridMultilevel"/>
    <w:tmpl w:val="07E2E240"/>
    <w:lvl w:ilvl="0" w:tplc="4B902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A1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4F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A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CE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24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C8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E3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29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75223"/>
    <w:multiLevelType w:val="hybridMultilevel"/>
    <w:tmpl w:val="AE1CD486"/>
    <w:lvl w:ilvl="0" w:tplc="A12A5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E1D7E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C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4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88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6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3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06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4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FA40B98"/>
    <w:multiLevelType w:val="hybridMultilevel"/>
    <w:tmpl w:val="625CBB42"/>
    <w:lvl w:ilvl="0" w:tplc="6BFC43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C7F70"/>
    <w:multiLevelType w:val="hybridMultilevel"/>
    <w:tmpl w:val="7EC25A2E"/>
    <w:lvl w:ilvl="0" w:tplc="E80C9A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CE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00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2A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D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CE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25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8B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EC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C520E"/>
    <w:multiLevelType w:val="hybridMultilevel"/>
    <w:tmpl w:val="D698FD00"/>
    <w:lvl w:ilvl="0" w:tplc="BB900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472A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43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44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C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2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2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6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AE0C67"/>
    <w:multiLevelType w:val="hybridMultilevel"/>
    <w:tmpl w:val="A82C3544"/>
    <w:lvl w:ilvl="0" w:tplc="D9287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D7600"/>
    <w:multiLevelType w:val="hybridMultilevel"/>
    <w:tmpl w:val="3FDE9EFC"/>
    <w:lvl w:ilvl="0" w:tplc="3CEEC7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173B4"/>
    <w:multiLevelType w:val="hybridMultilevel"/>
    <w:tmpl w:val="44FE3AF6"/>
    <w:lvl w:ilvl="0" w:tplc="76B451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EB0472A">
      <w:start w:val="56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C5437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91444C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ADCE4F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5ECCFE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5BA20C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F0C2E7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D86A48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>
    <w:nsid w:val="5F9E6E58"/>
    <w:multiLevelType w:val="hybridMultilevel"/>
    <w:tmpl w:val="F2FEA668"/>
    <w:lvl w:ilvl="0" w:tplc="76B45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66B0E"/>
    <w:multiLevelType w:val="hybridMultilevel"/>
    <w:tmpl w:val="6BE6B76A"/>
    <w:lvl w:ilvl="0" w:tplc="E688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4F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6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23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EB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8F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24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A9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E2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13B60"/>
    <w:multiLevelType w:val="hybridMultilevel"/>
    <w:tmpl w:val="2EE8DD58"/>
    <w:lvl w:ilvl="0" w:tplc="6BFC43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8501B"/>
    <w:multiLevelType w:val="hybridMultilevel"/>
    <w:tmpl w:val="CE74CF8A"/>
    <w:lvl w:ilvl="0" w:tplc="95D0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2F60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9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2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A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8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08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C5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0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E9385F"/>
    <w:multiLevelType w:val="hybridMultilevel"/>
    <w:tmpl w:val="ACBE7AB6"/>
    <w:lvl w:ilvl="0" w:tplc="0C489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086CBFE">
      <w:start w:val="56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A44F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E2AC9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8E2E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58E84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8869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9CE24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28819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1"/>
  </w:num>
  <w:num w:numId="19">
    <w:abstractNumId w:val="11"/>
  </w:num>
  <w:num w:numId="20">
    <w:abstractNumId w:val="5"/>
  </w:num>
  <w:num w:numId="21">
    <w:abstractNumId w:val="10"/>
  </w:num>
  <w:num w:numId="22">
    <w:abstractNumId w:val="4"/>
  </w:num>
  <w:num w:numId="23">
    <w:abstractNumId w:val="6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C"/>
    <w:rsid w:val="003D0EAC"/>
    <w:rsid w:val="00893FC9"/>
    <w:rsid w:val="009053C0"/>
    <w:rsid w:val="00B16ABC"/>
    <w:rsid w:val="00F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6A54C"/>
  <w15:chartTrackingRefBased/>
  <w15:docId w15:val="{9CC2690B-A2AF-44CD-A9C4-F08DEFC4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BC"/>
  </w:style>
  <w:style w:type="paragraph" w:styleId="Footer">
    <w:name w:val="footer"/>
    <w:basedOn w:val="Normal"/>
    <w:link w:val="FooterChar"/>
    <w:uiPriority w:val="99"/>
    <w:unhideWhenUsed/>
    <w:rsid w:val="00B1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BC"/>
  </w:style>
  <w:style w:type="character" w:styleId="Hyperlink">
    <w:name w:val="Hyperlink"/>
    <w:basedOn w:val="DefaultParagraphFont"/>
    <w:uiPriority w:val="99"/>
    <w:unhideWhenUsed/>
    <w:rsid w:val="00B16AB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85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77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74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10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231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970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094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09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77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19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368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41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59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9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128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26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857">
          <w:marLeft w:val="8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894">
          <w:marLeft w:val="8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244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00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52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735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793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56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7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81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73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84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76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88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7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6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22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98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61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75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540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60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982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130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60">
          <w:marLeft w:val="6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ahead.org/publications/jped/vol_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r45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C:\Users\slr45\AppData\Roaming\Microsoft\Templates\Report design (blank).dotx</Template>
  <TotalTime>1</TotalTime>
  <Pages>3</Pages>
  <Words>819</Words>
  <Characters>4672</Characters>
  <Application>Microsoft Macintosh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Rieder Bennett</dc:creator>
  <cp:keywords/>
  <cp:lastModifiedBy>Kurt Soltman</cp:lastModifiedBy>
  <cp:revision>2</cp:revision>
  <dcterms:created xsi:type="dcterms:W3CDTF">2015-10-23T12:03:00Z</dcterms:created>
  <dcterms:modified xsi:type="dcterms:W3CDTF">2015-10-23T12:03:00Z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